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0C7D40">
        <w:tc>
          <w:tcPr>
            <w:tcW w:w="4320" w:type="dxa"/>
          </w:tcPr>
          <w:p w:rsidR="000C7D40" w:rsidRDefault="00B67593"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097280" cy="29003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260731_162240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290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0C7D40" w:rsidRDefault="00B67593">
            <w:r>
              <w:rPr>
                <w:b/>
                <w:sz w:val="40"/>
              </w:rPr>
              <w:t>FIRSTRATEBITFX</w:t>
            </w:r>
            <w:r>
              <w:rPr>
                <w:b/>
                <w:sz w:val="40"/>
              </w:rPr>
              <w:br/>
            </w:r>
            <w:r>
              <w:rPr>
                <w:b/>
              </w:rPr>
              <w:t>Private Investment Company</w:t>
            </w:r>
            <w:r>
              <w:rPr>
                <w:b/>
              </w:rPr>
              <w:br/>
              <w:t>Compliance &amp; Verification Information</w:t>
            </w:r>
          </w:p>
        </w:tc>
      </w:tr>
    </w:tbl>
    <w:p w:rsidR="000C7D40" w:rsidRDefault="000C7D40"/>
    <w:p w:rsidR="000C7D40" w:rsidRDefault="00B67593">
      <w:r>
        <w:t xml:space="preserve">FirstratebitFX is a private investment company. Private investment companies are not always required to register with the SEC or become FINRA members because U.S. </w:t>
      </w:r>
      <w:r>
        <w:t>securities laws distinguish between public offerings and private offerings. Many private firms operate under exemptions from registration while remaining subject to applicable U.S. securities laws.</w:t>
      </w:r>
    </w:p>
    <w:p w:rsidR="000C7D40" w:rsidRDefault="00B67593">
      <w:r>
        <w:t>While a private investment company may qualify for exempti</w:t>
      </w:r>
      <w:r>
        <w:t>ons from SEC registration, it remains subject to applicable federal and state securities laws, including anti-fraud provisions and other legal and regulatory requirements. Registration exemptions do not exempt a company from complying with these laws.</w:t>
      </w:r>
    </w:p>
    <w:p w:rsidR="000C7D40" w:rsidRDefault="00B67593">
      <w:r>
        <w:t>Alth</w:t>
      </w:r>
      <w:r>
        <w:t>ough a private company may not have an SEC registration number or FINRA membership, it is still expected to comply with applicable legal requirements, including federal and state anti-fraud laws, accurate recordkeeping, AML/KYC obligations where applicable</w:t>
      </w:r>
      <w:r>
        <w:t>, truthful disclosures, honoring investor agreements, and maintaining appropriate compliance and risk management practices.</w:t>
      </w:r>
    </w:p>
    <w:p w:rsidR="000C7D40" w:rsidRDefault="00B67593">
      <w:r>
        <w:t>Our compliance and risk management functions are overseen by Aisha Johnson, Chief Risk Officer, whose background includes service as</w:t>
      </w:r>
      <w:r>
        <w:t xml:space="preserve"> a former SEC regulator. Her role is to oversee compliance, regulatory standards, and risk management, helping ensure the company operates in accordance with applicable legal and compliance requirements.</w:t>
      </w:r>
    </w:p>
    <w:p w:rsidR="000C7D40" w:rsidRDefault="00B67593">
      <w:r>
        <w:t>FirstratebitFX is committed to maintaining high stan</w:t>
      </w:r>
      <w:r>
        <w:t>dards of compliance, transparency, and client service. To the best of our knowledge, we are not aware of any regulatory findings or enforcement actions against the company.</w:t>
      </w:r>
    </w:p>
    <w:p w:rsidR="000C7D40" w:rsidRDefault="00B67593">
      <w:r>
        <w:t>To the best of our knowledge, FirstratebitFX has not been the subject of any SEC or</w:t>
      </w:r>
      <w:r>
        <w:t xml:space="preserve"> FINRA enforcement action or finding of fraud.</w:t>
      </w:r>
    </w:p>
    <w:sectPr w:rsidR="000C7D4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7D40"/>
    <w:rsid w:val="0015074B"/>
    <w:rsid w:val="0029639D"/>
    <w:rsid w:val="00326F90"/>
    <w:rsid w:val="00AA1D8D"/>
    <w:rsid w:val="00B47730"/>
    <w:rsid w:val="00B6759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E3D80CA9-C475-B146-B287-CAE44491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8546B5F-5B4C-6044-A73D-6413009B138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Noemi Pilot</cp:lastModifiedBy>
  <cp:revision>2</cp:revision>
  <dcterms:created xsi:type="dcterms:W3CDTF">2026-07-31T15:33:00Z</dcterms:created>
  <dcterms:modified xsi:type="dcterms:W3CDTF">2026-07-31T15:33:00Z</dcterms:modified>
  <cp:category/>
</cp:coreProperties>
</file>